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ind w:left="720" w:hanging="720"/>
        <w:contextualSpacing w:val="0"/>
        <w:jc w:val="center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rtl w:val="0"/>
        </w:rPr>
        <w:t xml:space="preserve">Works Cited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720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Berger, James D. and Helmut J. Schmidt. “Regulation of Macronuclear DNA Content in Paramecium Tetraurelia.” </w:t>
      </w:r>
      <w:r w:rsidDel="00000000" w:rsidR="00000000" w:rsidRPr="00000000">
        <w:rPr>
          <w:i w:val="1"/>
          <w:smallCaps w:val="0"/>
          <w:rtl w:val="0"/>
        </w:rPr>
        <w:t xml:space="preserve">The Journal of Cell Biology</w:t>
      </w:r>
      <w:r w:rsidDel="00000000" w:rsidR="00000000" w:rsidRPr="00000000">
        <w:rPr>
          <w:smallCaps w:val="0"/>
          <w:rtl w:val="0"/>
        </w:rPr>
        <w:t xml:space="preserve"> 76.1 (1978): 116-126. </w:t>
      </w:r>
      <w:r w:rsidDel="00000000" w:rsidR="00000000" w:rsidRPr="00000000">
        <w:rPr>
          <w:i w:val="1"/>
          <w:smallCaps w:val="0"/>
          <w:rtl w:val="0"/>
        </w:rPr>
        <w:t xml:space="preserve">JSTOR</w:t>
      </w:r>
      <w:r w:rsidDel="00000000" w:rsidR="00000000" w:rsidRPr="00000000">
        <w:rPr>
          <w:smallCaps w:val="0"/>
          <w:rtl w:val="0"/>
        </w:rPr>
        <w:t xml:space="preserve">. Web. 20 Nov. 2008.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720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720"/>
        <w:contextualSpacing w:val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rtl w:val="0"/>
        </w:rPr>
        <w:t xml:space="preserve">Chang, Iris. 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rtl w:val="0"/>
        </w:rPr>
        <w:t xml:space="preserve">The Rape of Nanking: The Forgotten Holocaust of World War II</w:t>
      </w:r>
      <w:r w:rsidDel="00000000" w:rsidR="00000000" w:rsidRPr="00000000">
        <w:rPr>
          <w:rFonts w:ascii="Times New Roman" w:cs="Times New Roman" w:eastAsia="Times New Roman" w:hAnsi="Times New Roman"/>
          <w:smallCaps w:val="0"/>
          <w:rtl w:val="0"/>
        </w:rPr>
        <w:t xml:space="preserve">. New York: Basic Books, 1997. Print.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720"/>
        <w:contextualSpacing w:val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720"/>
        <w:contextualSpacing w:val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rtl w:val="0"/>
        </w:rPr>
        <w:t xml:space="preserve">Fogel, Joshua A., ed. 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rtl w:val="0"/>
        </w:rPr>
        <w:t xml:space="preserve">The Nanking Massacre in History and Historiography</w:t>
      </w:r>
      <w:r w:rsidDel="00000000" w:rsidR="00000000" w:rsidRPr="00000000">
        <w:rPr>
          <w:rFonts w:ascii="Times New Roman" w:cs="Times New Roman" w:eastAsia="Times New Roman" w:hAnsi="Times New Roman"/>
          <w:smallCaps w:val="0"/>
          <w:rtl w:val="0"/>
        </w:rPr>
        <w:t xml:space="preserve">. Berkeley: University of California Press, 2000. Print.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720"/>
        <w:contextualSpacing w:val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720"/>
        <w:contextualSpacing w:val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rtl w:val="0"/>
        </w:rPr>
        <w:t xml:space="preserve">Katsuichi, Honda. Ed. Frank Gibney. Trans. Karen Sandness. 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rtl w:val="0"/>
        </w:rPr>
        <w:t xml:space="preserve">The Nanjing Massacre: A Japanese Journalist Confronts Japan’s National Shame</w:t>
      </w:r>
      <w:r w:rsidDel="00000000" w:rsidR="00000000" w:rsidRPr="00000000">
        <w:rPr>
          <w:rFonts w:ascii="Times New Roman" w:cs="Times New Roman" w:eastAsia="Times New Roman" w:hAnsi="Times New Roman"/>
          <w:smallCaps w:val="0"/>
          <w:rtl w:val="0"/>
        </w:rPr>
        <w:t xml:space="preserve">. New York: M.E. Sharpe, 1999. Print.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Note: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The Works Cited page should have the same margins and the same font and font size as the rest of your report.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This page is an extension of your report and should be numbered accordingly.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Notice the indentation on each entry: you need to use a “hanging indent.” In Word 2007, go to Paragraph (under the Home tab) on the toolbar. Under “Indentation,” click on the “Special” box and select “Hanging Indent.”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Remember to alphabetize your entries.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Verdana"/>
  <w:font w:name="Arial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