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</w:rPr>
      </w:pPr>
      <w:r w:rsidDel="00000000" w:rsidR="00000000" w:rsidRPr="00000000">
        <w:rPr>
          <w:rtl w:val="0"/>
        </w:rPr>
        <w:t xml:space="preserve">Unit Outcomes for </w:t>
      </w:r>
      <w:r w:rsidDel="00000000" w:rsidR="00000000" w:rsidRPr="00000000">
        <w:rPr>
          <w:i w:val="1"/>
          <w:rtl w:val="0"/>
        </w:rPr>
        <w:t xml:space="preserve">The Boy Who Harnessed the Wind.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Students read two or three chapters a week and participate in class discussions and written reading responses (either in class or on the discussion board). Students are asked to propose a response to the book in the form of a creative project. Module-level outcomes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Participate in class discussions.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a variety of sources independently, recognize and evaluate bias, and analyze content and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Show ability to pick subject matter that fits assignment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Transfer concepts discussed in one context in class to another context in order to develop reports and projects.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